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850f57eda55480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47730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ustanova NATURA VIVA za upravljanje zaštićenim dijelovima prirode na području Karlovačke županije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336.013,82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627.394,54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320.131,12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405.329,11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15.882,70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222.065,43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1398,2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15.579,38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2279,7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15.199,30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206.486,05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1358,5</w:t>
            </w:r>
          </w:p>
        </w:tc>
      </w:tr>
    </w:tbl>
    <w:p>
      <w:pPr>
        <w:spacing w:before="0" w:after="0"/>
      </w:pPr>
    </w:p>
    <w:p>
      <w:pPr>
        <w:jc w:val="both"/>
        <w:pStyle w:val="Normal"/>
        <w:spacing w:line="240" w:lineRule="auto"/>
      </w:pPr>
      <w:r>
        <w:rPr>
          <w:sz w:val="24"/>
          <w:rFonts w:ascii="Times New Roman" w:hAnsi="Times New Roman"/>
        </w:rPr>
        <w:t>Ukupni Prihodi poslovanja (Šifra 6) iznose 627.394,54 eura. Čine ih tekuće pomoći od izvanproračunskih korisnika u iznosu od 46.989,40 eura, tekuće pomoći proračunskim korisnicima iz proračuna koji im nije nadležan u iznosu od 3.831,70 eura, prihodi od pruženih usluga u iznosu od 45.980,00 eura, tekuće donacije u iznosu 61.448,40 eura, prihodi iz nadležnog proračuna za financiranje rashoda poslovanja u iznosu od 454.135,56 eura, te prihodi iz nadležnog proračuna za financiranje rashoda za nabavu nefinancijske imovine u iznosu od 15.009,48 eura. Povećanje prihoda u odnosu na izvještajno razdoblje 2024. godine iznosi 291.380,72 eura. Ukupni Rashodi poslovanja (Šifra 3) iznose 405.329,11 eura te su se povećali za 85.197,99 eura odnosno 26,6%, zbog povećanja provedbe aktivnosti na određenim projektima. S obzirom na to da su prihodi veći od rashoda iskazuje se višak prihoda i primitaka (šifra X005) u iznosu od 206.486,05 eura.</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46.989,40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321,6</w:t>
            </w:r>
          </w:p>
        </w:tc>
      </w:tr>
    </w:tbl>
    <w:p>
      <w:pPr>
        <w:spacing w:before="0" w:after="0"/>
      </w:pPr>
    </w:p>
    <w:p>
      <w:pPr>
        <w:jc w:val="both"/>
        <w:pStyle w:val="Normal"/>
        <w:spacing w:line="240" w:lineRule="auto"/>
      </w:pPr>
      <w:r>
        <w:rPr>
          <w:sz w:val="24"/>
          <w:rFonts w:ascii="Times New Roman" w:hAnsi="Times New Roman"/>
        </w:rPr>
        <w:t>Tekuće pomoći od izvanproračunskih korisnika (šifra 6341) u ukupnom iznosu od 46.989,40 eura čine sredstva koja je Javna ustanova dobila od Fonda za zaštitu okoliša i energetsku učinkovitost za provedbu projekta Razvijanje sustava upravljanja i kontrole invazivnih stranih vrsta i projekta Razvijanje posjetiteljske infrastrukture.</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w:t>
            </w:r>
          </w:p>
        </w:tc>
      </w:tr>
    </w:tbl>
    <w:p>
      <w:pPr>
        <w:spacing w:before="0" w:after="0"/>
      </w:pPr>
    </w:p>
    <w:p>
      <w:pPr>
        <w:jc w:val="both"/>
        <w:pStyle w:val="Normal"/>
        <w:spacing w:line="240" w:lineRule="auto"/>
      </w:pPr>
      <w:r>
        <w:rPr>
          <w:sz w:val="24"/>
          <w:rFonts w:ascii="Times New Roman" w:hAnsi="Times New Roman"/>
        </w:rPr>
        <w:t>Tekuće pomoći proračunskim korisnicima iz proračuna koji im nije nadležan (Šifra 6361), u ukupnom iznosu od 3.831,70 eura čine sredstva tekuće pomoći Ministarstva poljoprivrede za provedbu mjere „Avakultura koja osigurava zaštitu“, kao i sredstva za provedbu aktivnosti na projektu „Živjeti s parkom 2024“.</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31.993,70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143,7</w:t>
            </w:r>
          </w:p>
        </w:tc>
      </w:tr>
    </w:tbl>
    <w:p>
      <w:pPr>
        <w:spacing w:before="0" w:after="0"/>
      </w:pPr>
    </w:p>
    <w:p>
      <w:pPr>
        <w:jc w:val="both"/>
        <w:pStyle w:val="Normal"/>
        <w:spacing w:line="240" w:lineRule="auto"/>
      </w:pPr>
      <w:r>
        <w:rPr>
          <w:sz w:val="24"/>
          <w:rFonts w:ascii="Times New Roman" w:hAnsi="Times New Roman"/>
        </w:rPr>
        <w:t>Prihodi od pružanja usluga (Šifra 6615) iznose 45.980,00 eura te su veći za 13.986,30 eura u odnosu na razdoblje prethodne godine, a ostvareni su od turističkog vođenja u ZK Petrova Gora, turističkog vođenja u ZK Biljeg, prodaje ulaznica za posjet spilje Vrlovke, za koncesijska odobrenja, za radionicu Zeleno i plavo, provođenja stručno edukativnog programa za škole GSP Vrlovka „Pod svodovima Vrlovke“, održavanja manifestacije na SP Mrežnica Tounjčica i ZK Mrežnica, organizacije sportskog događaja u zaštićenom području SPA Vrbanić, snimanja i fotografiranja za TV program – ZK Klek, GSP Vrlovka, ZK Slunjčica.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61.448,40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2793,1</w:t>
            </w:r>
          </w:p>
        </w:tc>
      </w:tr>
    </w:tbl>
    <w:p>
      <w:pPr>
        <w:spacing w:before="0" w:after="0"/>
      </w:pPr>
    </w:p>
    <w:p>
      <w:pPr>
        <w:jc w:val="both"/>
        <w:pStyle w:val="Normal"/>
        <w:spacing w:line="240" w:lineRule="auto"/>
      </w:pPr>
      <w:r>
        <w:rPr>
          <w:sz w:val="24"/>
          <w:rFonts w:ascii="Times New Roman" w:hAnsi="Times New Roman"/>
        </w:rPr>
        <w:t>Tekuće donacije (Šifra 6631) dobivene su u ukupnom iznosu od 61.448,40 eura, od toga 1.448,40 eura za suvenire koje su posjetitelji mogli dobiti u spilji Vrlovci i Slunju, i 60.000,00 eura od neprofitne organizacije TNC za primjenu mjera ublažavanja utjecaja na sedru – izrada infrastrukture kako bi se povećala svijest te smanjile fizičke štete na sedri.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277.718,64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454.135,56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163,5</w:t>
            </w:r>
          </w:p>
        </w:tc>
      </w:tr>
    </w:tbl>
    <w:p>
      <w:pPr>
        <w:spacing w:before="0" w:after="0"/>
      </w:pPr>
    </w:p>
    <w:p>
      <w:pPr>
        <w:jc w:val="both"/>
        <w:pStyle w:val="Normal"/>
        <w:spacing w:line="240" w:lineRule="auto"/>
      </w:pPr>
      <w:r>
        <w:rPr>
          <w:sz w:val="24"/>
          <w:rFonts w:ascii="Times New Roman" w:hAnsi="Times New Roman"/>
        </w:rPr>
        <w:t>Prihodi iz nadležnog proračuna za financiranje rashoda poslovanja (Šifra 6711) iznose 454.135,56 eura, što je povećanje za 63,5%, isti se odnose za financiranje plaća zaposlenika Javne ustanove, naknada za članove Upravnog vijeća, za podmirenje računa koji se odnose na redovno poslovanje, te za pred financiranje 5 projekata.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373,0</w:t>
            </w:r>
          </w:p>
        </w:tc>
      </w:tr>
    </w:tbl>
    <w:p>
      <w:pPr>
        <w:spacing w:before="0" w:after="0"/>
      </w:pPr>
    </w:p>
    <w:p>
      <w:pPr>
        <w:jc w:val="both"/>
        <w:pStyle w:val="Normal"/>
        <w:spacing w:line="240" w:lineRule="auto"/>
      </w:pPr>
      <w:r>
        <w:rPr>
          <w:sz w:val="24"/>
          <w:rFonts w:ascii="Times New Roman" w:hAnsi="Times New Roman"/>
        </w:rPr>
        <w:t>Prihodi iz nadležnog proračuna za financiranje izdataka za nabavu nefinancijske imovine (Šifra 6712) iznose 15.009,48 eura što je u odnosu na 2024. godinu povećanje u iznosu od 10.985,52 eura, a isto se odnosi na nabavu opreme za potrebe redovnog poslovanja (električni motor za slatku vodu, dalekozor, klima uređaj, projektor, električni pastir, laptop, tablet...).</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202.907,66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278.599,56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bl>
    <w:p>
      <w:pPr>
        <w:spacing w:before="0" w:after="0"/>
      </w:pPr>
    </w:p>
    <w:p>
      <w:pPr>
        <w:jc w:val="both"/>
        <w:pStyle w:val="Normal"/>
        <w:spacing w:line="240" w:lineRule="auto"/>
      </w:pPr>
      <w:r>
        <w:rPr>
          <w:sz w:val="24"/>
          <w:rFonts w:ascii="Times New Roman" w:hAnsi="Times New Roman"/>
        </w:rPr>
        <w:t>Rashodi za zaposlene (Šifra 31) veći su za 37,30% i iznose 278.599,56 eura. Razlog povećanja u odnosu na 2024. godinu je povećan broj zaposlenih, veća bruto osnovica, veći koeficijenti po radnim mjestima, te veći ostali rashodi za zaposlene. Sukladno povećanju plaće za redovan rad povećali su se i doprinosi na plaću (Šifra 313) za 10.406,64 eura odnosno za 40,6%.</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w:t>
            </w:r>
          </w:p>
        </w:tc>
      </w:tr>
    </w:tbl>
    <w:p>
      <w:pPr>
        <w:spacing w:before="0" w:after="0"/>
      </w:pPr>
    </w:p>
    <w:p>
      <w:pPr>
        <w:jc w:val="both"/>
        <w:pStyle w:val="Normal"/>
        <w:spacing w:line="240" w:lineRule="auto"/>
      </w:pPr>
      <w:r>
        <w:rPr>
          <w:sz w:val="24"/>
          <w:rFonts w:ascii="Times New Roman" w:hAnsi="Times New Roman"/>
        </w:rPr>
        <w:t>Naknade troškova zaposlenima (Šifra 321) u iznosu 5.976,69 eura smanjene su za 572,55 eura. Razlog smanjenja je manji iznos pri isplati naknade za prijevoz za novozaposlene osobe.</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14.058,35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w:t>
            </w:r>
          </w:p>
        </w:tc>
      </w:tr>
    </w:tbl>
    <w:p>
      <w:pPr>
        <w:spacing w:before="0" w:after="0"/>
      </w:pPr>
    </w:p>
    <w:p>
      <w:pPr>
        <w:jc w:val="both"/>
        <w:pStyle w:val="Normal"/>
        <w:spacing w:line="240" w:lineRule="auto"/>
      </w:pPr>
      <w:r>
        <w:rPr>
          <w:sz w:val="24"/>
          <w:rFonts w:ascii="Times New Roman" w:hAnsi="Times New Roman"/>
        </w:rPr>
        <w:t>Rashodi za materijal i energiju (Šifra 322) iznose 17.757,43 eura, isti su se povećali za 3.699,08 eura u najvećoj mjeri zbog nabave sitnog inventara - vrša za izlov rakova, a sve za potrebe provedbe projekta „Kontrola populacije signalnog raka na rijeci Dobri“, isto tako povećali su se i zbog veće potrebe za uredskim materijalom, veća je i potrošnja električne energije (novi poslovni prostor).</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86.374,53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92.491,50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bl>
    <w:p>
      <w:pPr>
        <w:spacing w:before="0" w:after="0"/>
      </w:pPr>
    </w:p>
    <w:p>
      <w:pPr>
        <w:jc w:val="both"/>
        <w:pStyle w:val="Normal"/>
        <w:spacing w:line="240" w:lineRule="auto"/>
      </w:pPr>
      <w:r>
        <w:rPr>
          <w:sz w:val="24"/>
          <w:rFonts w:ascii="Times New Roman" w:hAnsi="Times New Roman"/>
        </w:rPr>
        <w:t>Rashodi za usluge (Šifra 323) iznose 92.491,50 eura, u odnosu na izvještajno razdoblje 2024. godine zabilježeno je povećanje u iznosu od 6.116,97 eura. Navedeno povećanje se odnosi na povećanje usluge promidžbe i informiranja (nabava suvenira za spilju Vrlovku i Slunj), ostalih usluga (tisak edukativnih materijala za spilju Vrlovku, tisak majici i organizacija raftinga/kajaking izleta za potrebe provedbe projekta „Interreg HRV-SLO Colapis“, izrada drvenih ukrasa za potrebe provedbe aktivnosti „Živjeti s parkom“, izrada oznaka za radilišta u sklopu projekta Kontrola populacije signalnog raka u rijeci Dobri, uređenje sloja podstojne etaže na području SPA Bosiljevo, izrada drvene konstrukcije pješačke staze – jednostavna građevina u ZK Slunjčica).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bl>
    <w:p>
      <w:pPr>
        <w:spacing w:before="0" w:after="0"/>
      </w:pPr>
    </w:p>
    <w:p>
      <w:pPr>
        <w:jc w:val="both"/>
        <w:pStyle w:val="Normal"/>
        <w:spacing w:line="240" w:lineRule="auto"/>
      </w:pPr>
      <w:r>
        <w:rPr>
          <w:sz w:val="24"/>
          <w:rFonts w:ascii="Times New Roman" w:hAnsi="Times New Roman"/>
        </w:rPr>
        <w:t>Ostali nespomenuti rashodi poslovanja ( Šifra 329) iznose 10.280,94 eura. Navedeni rashodi nastali su zbog potrebe za ugostiteljskim uslugama kako bi mogli provesti: aktivnost „Živjeti s parkom“ i projekt „Interreg HRV-SLO Colapis“. Ostali rashodi koji su financirani su: naknade članovima Upravnog vijeća (siječanj - rujan 2025.), premija osiguranja službenog automobila (Renault Kangoo Passenger), tuzemne članarine (Gospodarski registar), javnobilježničke pristojbe i ostale pristojbe i naknade.</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2279,7</w:t>
            </w:r>
          </w:p>
        </w:tc>
      </w:tr>
    </w:tbl>
    <w:p>
      <w:pPr>
        <w:spacing w:before="0" w:after="0"/>
      </w:pPr>
    </w:p>
    <w:p>
      <w:pPr>
        <w:jc w:val="both"/>
        <w:pStyle w:val="Normal"/>
        <w:spacing w:line="240" w:lineRule="auto"/>
      </w:pPr>
      <w:r>
        <w:rPr>
          <w:sz w:val="24"/>
          <w:rFonts w:ascii="Times New Roman" w:hAnsi="Times New Roman"/>
        </w:rPr>
        <w:t>Rashodi za nabavu proizvedene dugotrajne imovine (Šifra 42) veći su u odnosu na prethodnu godinu za 14.895,98 eura. Do povećanja je došlo zato što je u sklopu projekta nabavljena oprema koja se koristi za provedbu istog (projektor, zamrzivač, visokotlačni perač, udarna i kutna brusilica, električni motor za slatku vodu i dr.).</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aeaaf3707354a42" /></Relationships>
</file>