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11c349ed47654254"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47730</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Javna ustanova NATURA VIVA za upravljanje zaštićenim dijelovima prirode na području Karlovačke županije</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486.521,91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854.248,23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546.433,46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640.170,36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214.077,87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56.412,57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19.255,19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56.412,57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19.255,19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34,1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194.822,68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Ostavareni ukupni prihodi za period od 01-12/25. godine iznose 854.248,23 eura, što je za 75,6% više u odnosu na isti period 2024. g. Obrazloženje povećanja objašnjeno je u nastavku.</w:t>
      </w:r>
    </w:p>
    <w:p>
      <w:r>
        <w:t xml:space="preserve">Rashodi za period od 01-12/25 g. iznose 659.425,55 eura, što je za 9,4% više u odnosu na isti period 2024. g. Obrazloženje povećanja objašnjeno je u nastavku.</w:t>
      </w:r>
    </w:p>
    <w:p>
      <w:r>
        <w:t xml:space="preserve">Ostvaren je višak prihoda nad rashodima u iznosu od 194.822,68 eura, a sastoji se od viška prihoda od poslovanja, u iznosu od 214.077,87 eura i manjka prihoda od nefinancijske imovine, u iznosu od 19.255,19 eura.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486.521,91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854.248,23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175,6</w:t>
            </w:r>
          </w:p>
        </w:tc>
      </w:tr>
    </w:tbl>
    <w:p>
      <w:pPr>
        <w:spacing w:before="0" w:after="0"/>
      </w:pPr>
    </w:p>
    <w:p>
      <w:r>
        <w:t xml:space="preserve">Ukupni prihodi u odnosu na 2024. g. veći su za 75,60%, i to kako slijedi:</w:t>
      </w:r>
    </w:p>
    <w:p>
      <w:pPr>
        <w:pStyle w:val="ListParagraph"/>
        <w:numPr>
          <w:ilvl w:val="0"/>
          <w:numId w:val="2"/>
        </w:numPr>
      </w:pPr>
      <w:r>
        <w:t xml:space="preserve">prihodi od projekta  iz sredstava EU  za regionalni razvoj, u iznosu od 8.192,00 eura, a u prošloj godini taj projekt nismo imali,</w:t>
      </w:r>
    </w:p>
    <w:p>
      <w:pPr>
        <w:pStyle w:val="ListParagraph"/>
        <w:numPr>
          <w:ilvl w:val="0"/>
          <w:numId w:val="2"/>
        </w:numPr>
      </w:pPr>
      <w:r>
        <w:t xml:space="preserve">prihodi od Fonda za zaštitu okoliša i energetsku učinkovitost veći su za 34,8% u odnosu na prošlu godinu, zbog provedbe tekućih projekata,</w:t>
      </w:r>
    </w:p>
    <w:p>
      <w:pPr>
        <w:pStyle w:val="ListParagraph"/>
        <w:numPr>
          <w:ilvl w:val="0"/>
          <w:numId w:val="2"/>
        </w:numPr>
      </w:pPr>
      <w:r>
        <w:t xml:space="preserve">prihodi od lokalnih proračuna gradova (Karlovac, Ogulin) za provedbu projekta zaštite prirode u jedinicama lokalne samouprave, u 2025. g. su manji za 43%, jer Grad Ogulin nije sudjelovao u navedenim aktivnostima u 2025. g., već samo u 2024. g.</w:t>
      </w:r>
    </w:p>
    <w:p>
      <w:pPr>
        <w:pStyle w:val="ListParagraph"/>
        <w:numPr>
          <w:ilvl w:val="0"/>
          <w:numId w:val="2"/>
        </w:numPr>
      </w:pPr>
      <w:r>
        <w:t xml:space="preserve">vlastiti prihodi, od prodaje ulaznica za Jamu Vrlovku i koncesijska odobrenja, veći su za 13,9% u odnosu na 2024. g., zbog većeg broja posjetitelja</w:t>
      </w:r>
    </w:p>
    <w:p>
      <w:pPr>
        <w:pStyle w:val="ListParagraph"/>
        <w:numPr>
          <w:ilvl w:val="0"/>
          <w:numId w:val="2"/>
        </w:numPr>
      </w:pPr>
      <w:r>
        <w:t xml:space="preserve">prihodi iz nadležnog proračuna, odnosno Karlovačke županije, veći su za 76,9%, zbog većih tekućih troškova, prvenstveno plaća i naknada djelatnicima, većeg iznosa predfinanciranja projekata, kojih je bilo više nego u 2024. g. i većeg ulaganja u nefinancijsku imovinu.</w:t>
      </w:r>
    </w:p>
    <w:p>
      <w:r>
        <w:t xml:space="preserve">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546.433,46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640.170,36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117,2</w:t>
            </w:r>
          </w:p>
        </w:tc>
      </w:tr>
    </w:tbl>
    <w:p>
      <w:pPr>
        <w:spacing w:before="0" w:after="0"/>
      </w:pPr>
    </w:p>
    <w:p>
      <w:r>
        <w:t xml:space="preserve">Ukupni rashodi poslovanja veći su za 17,2% u odnosu na 2024. g., i to kako slijedi:</w:t>
      </w:r>
    </w:p>
    <w:p>
      <w:pPr>
        <w:pStyle w:val="ListParagraph"/>
        <w:numPr>
          <w:ilvl w:val="0"/>
          <w:numId w:val="2"/>
        </w:numPr>
      </w:pPr>
      <w:r>
        <w:t xml:space="preserve">troškovi plaća i nakdana zaposlenicima veći su 30,4%, zbog povećanja istih,</w:t>
      </w:r>
    </w:p>
    <w:p>
      <w:pPr>
        <w:pStyle w:val="ListParagraph"/>
        <w:numPr>
          <w:ilvl w:val="0"/>
          <w:numId w:val="2"/>
        </w:numPr>
      </w:pPr>
      <w:r>
        <w:t xml:space="preserve">rashodi za materijal i energiju veći su za 32,9%, zbog povećanja cijena na tržištu općenito, te veće potrošnje za sitni inventar i auto gume,</w:t>
      </w:r>
    </w:p>
    <w:p>
      <w:pPr>
        <w:pStyle w:val="ListParagraph"/>
        <w:numPr>
          <w:ilvl w:val="0"/>
          <w:numId w:val="2"/>
        </w:numPr>
      </w:pPr>
      <w:r>
        <w:t xml:space="preserve">rashodi za usluge na nivou su 2024. g.,</w:t>
      </w:r>
    </w:p>
    <w:p>
      <w:pPr>
        <w:pStyle w:val="ListParagraph"/>
        <w:numPr>
          <w:ilvl w:val="0"/>
          <w:numId w:val="2"/>
        </w:numPr>
      </w:pPr>
      <w:r>
        <w:t xml:space="preserve">ostali nespomenuti rashodi poslovanja veći su za 16,7%, značajnije je povećanje za članarine i norme, te za reprezentaciju, iz koje se financira hrana za sudionike u projektu</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raspoloživ u sljedećem razdoblju (šifre X005 + '9221-9222' - Y005 - '9222-9221')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71.164,91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  </w:t>
      </w:r>
      <w:r>
        <w:rPr>
          <w:b/>
        </w:rPr>
        <w:t xml:space="preserve">STRUKTURA REZULTATA ZA PERIOD OD 01-12/2025. G. PO IZVORIMA:</w:t>
      </w:r>
    </w:p>
    <w:p>
      <w:r>
        <w:rPr>
          <w:b/>
        </w:rPr>
        <w:t xml:space="preserve">IZVOR 11 </w:t>
      </w:r>
      <w:r>
        <w:t xml:space="preserve">- LOKALNI PRORAČUN:  PRIHODI - 592.977,13 EURA</w:t>
      </w:r>
    </w:p>
    <w:p>
      <w:r>
        <w:t xml:space="preserve">                                                      RASHODI - 513.322,52 EURA</w:t>
      </w:r>
    </w:p>
    <w:p>
      <w:r>
        <w:t xml:space="preserve">                VIŠAK PRIHODA OD POSLOVANJA - 79.654,61 EURA   </w:t>
      </w:r>
    </w:p>
    <w:p>
      <w:r>
        <w:t xml:space="preserve">Po financiranju proračunskim sredstvima ostvaren je višak prihoda od poslovanja, u iznosu od 79.654,61 eura i manjak prihoda od nefinancijske imovine u iznosu od 9.068,05 eura. Iz 2024. g. prenesen je višak prihoda od poslovanja u iznosu od 1.36177 eura, manjak prihoda od financijske imovine od 1.271,94 i manjak prihoda od poslovanja od 97.209,22 eura. Za ukupni iznos manjka od nefinancijske imovine napravljena je korekcija rezultata, u ukupnom iznosu od 1.339,99 eura, jer su to osnovna sredstva kupljena od proračunskih sredstava. Iznos viška prihoda od poslovanja iz 2024. g. preknjižen je na rezultat. Po odluci o raspodjeli rezultata za 2025. g. preknjižiti će se višak prihoda od poslovanja u iznosu od 78.382,67 eura (79.654,61 eura - 1.271,94 eura) na pokriće manjka prihoda iz 2024. g. u iznosu od 95.847,45. Krajnji rezultat je manjak prihoda od poslovanja u iznosu od 17.464,78 eura i to je metodološki manjak koji se odnosi na troškove knjižene u 2025. g., a plaćene u 2026. g.</w:t>
      </w:r>
    </w:p>
    <w:p>
      <w:r>
        <w:rPr>
          <w:b/>
        </w:rPr>
        <w:t xml:space="preserve">IZVOR 12</w:t>
      </w:r>
      <w:r>
        <w:t xml:space="preserve"> - SREDSTVA UČEŠĆA ZA POMOĆI - PREDFINANCIRANJE:  PRIHODI - 8.556,50 EURA</w:t>
      </w:r>
    </w:p>
    <w:p>
      <w:r>
        <w:t xml:space="preserve">                                                                                                             RASHODI -12.391,02 EURA</w:t>
      </w:r>
    </w:p>
    <w:p>
      <w:r>
        <w:t xml:space="preserve">                                                                   MANJAK PRIHODA OD POSLOVANJA - 3.834,17 EURA </w:t>
      </w:r>
    </w:p>
    <w:p>
      <w:r>
        <w:t xml:space="preserve">Preko ovog izvora Karlovačka županija predfinancira projekte. Iz 2024. g. prenesen je manjak prihoda od poslovanja u iznosu od 1.945,59 eura i manjak prihoda od nefinancijske imovine od 32.50,00 eura. U toku 2025. g. realiziran je projekt te su sredstva predfinanciranja vraćena osnivaču, a navedeni manjak prihoda po obje osnove preknjižen na izvor 522, na kojem se evidentira projekt. Prikazan manjak prihoda od poslovanja za 2025. g., od 3.834,17 eura je metodološki manjak. </w:t>
      </w:r>
    </w:p>
    <w:p>
      <w:r>
        <w:rPr>
          <w:b/>
        </w:rPr>
        <w:t xml:space="preserve">IZVOR 31</w:t>
      </w:r>
      <w:r>
        <w:t xml:space="preserve">- VLASTITI PRIHODI:  PRIHODI - 46.275,00 EURA</w:t>
      </w:r>
    </w:p>
    <w:p>
      <w:r>
        <w:t xml:space="preserve">                                                 RASHODI -  7.749,72 EURA</w:t>
      </w:r>
    </w:p>
    <w:p>
      <w:r>
        <w:t xml:space="preserve">                VIŠAK PRIHODA OD POSLOVANJA - 38.525,28 EURA </w:t>
      </w:r>
    </w:p>
    <w:p>
      <w:r>
        <w:t xml:space="preserve">U 2025. g. ostvaren je višak prihoda od poslovanja u iznosu od 39.609,56 eura, manjak prihoda od nefinancijske imovine od 1.36,48 eura i proveden je  ispravak knjiženja rezultata od 47,80 eura, što daje gore prikazani višak prihoda od poslovanja. Iz 2024. g. prenesen je višak prihoda od poslovanja od 24.459,79 eura i manjak od nefinancijske imovine od 10.309,19. Odlukom o raspodjeli rezultata za 2025. g. preknjižiti će se 11.345,67 eura sa viška prihoda od poslovanja na manjak prihoda od nefinancijske imovine, te će ostati višak prihoda poslovanja od 52.628,08 eura za korištenje u 2026. g. Isti će biti paniran u I rebalansu proračuna.</w:t>
      </w:r>
    </w:p>
    <w:p>
      <w:r>
        <w:rPr>
          <w:b/>
        </w:rPr>
        <w:t xml:space="preserve">IZVOR 503</w:t>
      </w:r>
      <w:r>
        <w:t xml:space="preserve"> - POMOĆI IZ NENADLEŽNOG PRORAČUNA:  PRIHODI - 4.21247 EURA</w:t>
      </w:r>
    </w:p>
    <w:p>
      <w:r>
        <w:t xml:space="preserve">                                                                                          RASHODI - 2.650,59 EURA</w:t>
      </w:r>
    </w:p>
    <w:p>
      <w:r>
        <w:t xml:space="preserve">                                                   VIŠAK PRIHODA OD POSLOVANJA - 1.561,88 EURA </w:t>
      </w:r>
    </w:p>
    <w:p>
      <w:r>
        <w:t xml:space="preserve">U 2025. g. ostvaren je višak prihoda poslovanja u iznosu od 1.561,88 eura, a iz 2024. g. prenesen je višak prihoda poslovanja od 1.438,25 eura. Ukupni višak prihoda poslovanja od 3.000,13 eura biti će planiran po I rebalansu proračuna.</w:t>
      </w:r>
    </w:p>
    <w:p>
      <w:r>
        <w:rPr>
          <w:b/>
        </w:rPr>
        <w:t xml:space="preserve">IZVOR 510</w:t>
      </w:r>
      <w:r>
        <w:t xml:space="preserve">: PROGRAMI UNIJE:  PRIHODI - 8.192,00 EURA</w:t>
      </w:r>
    </w:p>
    <w:p>
      <w:r>
        <w:t xml:space="preserve">                                                   RASHODI - 8.192,00 EURA</w:t>
      </w:r>
    </w:p>
    <w:p>
      <w:r>
        <w:t xml:space="preserve">                VIŠAK PRIHODA OD POSLOVANJA - 0,00 EURA </w:t>
      </w:r>
    </w:p>
    <w:p>
      <w:r>
        <w:t xml:space="preserve">Rezultat poslovanja je višak prihoda poslovanja od 4.145,92 eura i manjak prihoda od nefinancijske imovine od 4.145,92 eura. Odlukom o raspodjeli rezultata za 2025. g. zatvoriti će se manjak prihoda od nefinancijske imovine od 4.145,92 eura viškom prihoda poslovanja u iznosu od 4.145,92 eura.</w:t>
      </w:r>
    </w:p>
    <w:p>
      <w:r>
        <w:rPr>
          <w:b/>
        </w:rPr>
        <w:t xml:space="preserve">IZVOR 522</w:t>
      </w:r>
      <w:r>
        <w:t xml:space="preserve"> - OSTALE POMOĆI:  PRIHODI - 132.586,38 EURA</w:t>
      </w:r>
    </w:p>
    <w:p>
      <w:r>
        <w:t xml:space="preserve">                                                   RASHODI - 86.75,94 EURA</w:t>
      </w:r>
    </w:p>
    <w:p>
      <w:r>
        <w:t xml:space="preserve">           VIŠAK PRIHODA OD POSLOVANJA - 45.880,44 EURA </w:t>
      </w:r>
    </w:p>
    <w:p>
      <w:r>
        <w:t xml:space="preserve">Na ovom izvoru evidentiraju se projekti. Za 2025. g ostvaren je višak prihoda poslovanja od 55.331,52 eura, manjak prihoda poslovanja od 9.579,43 i manjak prihoda od nefinancijske imovine od 37.504,74 eura. Izvršen je ispravak knjiženja prikazanog rezultata iz 2024. g., koji je bio prikazan na višku prihoda od poslovanja, a u stvari je manjak prihoda od poslovanja, u iznosu od 4.446,34 eura. Preknjiženi su manjkovi prihoda od poslovanja, u iznosu od 9.579,43 eura, i manjak prihoda od nefinancijske imovine, u iznosu od 32.500,00 eura, sa izvora 12 - predfinanciranje projekata od strane osnivača, na izvor 522, jer su projekti u 2025. g. bili realizirani i sredstva su vraćena Karlovačkoj županiji. Odlukom o raspodjeli rezultata za 2025. g. ostvarenim viškom prihoda poslovanja pokriti će se manjak prihoda od nefinancijske imovine, u iznosu od 37.504,74 eura (2024. g. i 2025. g.) i manjak prihoda poslovanja od 9.579,43 eura, iz 2024. g. Ostatak viška prihoda od poslovanja od 3.801,01 euro palanirati će se u I rebalansu proračuna.</w:t>
      </w:r>
    </w:p>
    <w:p>
      <w:r>
        <w:rPr>
          <w:b/>
        </w:rPr>
        <w:t xml:space="preserve">IZVOR 611</w:t>
      </w:r>
      <w:r>
        <w:t xml:space="preserve"> - DONACIJE:  PRIHODI - 61.448,40 EURA</w:t>
      </w:r>
    </w:p>
    <w:p>
      <w:r>
        <w:t xml:space="preserve">                                       RASHODI - 28.413,76 EURA</w:t>
      </w:r>
    </w:p>
    <w:p>
      <w:r>
        <w:t xml:space="preserve"> VIŠAK PRIHODA OD POSLOVANJA - 33.034,64EURA </w:t>
      </w:r>
    </w:p>
    <w:p>
      <w:r>
        <w:t xml:space="preserve">Višak prihoda poslovanja od 33.034,64 eura planirati će se po I rebalansu proračuna za 2026. g.</w:t>
      </w:r>
    </w:p>
    <w:p>
      <w:r>
        <w:t xml:space="preserve"> </w:t>
      </w:r>
    </w:p>
    <w:p>
      <w:r>
        <w:rPr>
          <w:b/>
        </w:rPr>
        <w:t xml:space="preserve">UKUPNI PRIHODI I PRIMICI - 854.248,23 EURA</w:t>
      </w:r>
    </w:p>
    <w:p>
      <w:r>
        <w:rPr>
          <w:b/>
        </w:rPr>
        <w:t xml:space="preserve">UKUPNI RASHODI I IZDACI - 659.425,55 EURA</w:t>
      </w:r>
    </w:p>
    <w:p>
      <w:r>
        <w:rPr>
          <w:b/>
        </w:rPr>
        <w:t xml:space="preserve">VIŠAK PRIHODA POSLOVANJA - 194.822,68 EURA</w:t>
      </w:r>
    </w:p>
    <w:p>
      <w:r>
        <w:rPr>
          <w:b/>
        </w:rPr>
        <w:t xml:space="preserve">MANJAK PRIHODA IZ 2024. G. - 123.657,77 EURA</w:t>
      </w:r>
    </w:p>
    <w:p>
      <w:r>
        <w:rPr>
          <w:b/>
        </w:rPr>
        <w:t xml:space="preserve">VIŠAK PRIHODA 2025. G. -            71.164,91 EURA</w:t>
      </w:r>
    </w:p>
    <w:p>
      <w:r>
        <w:t xml:space="preserve"> </w:t>
      </w:r>
    </w:p>
    <w:p>
      <w:r>
        <w:t xml:space="preserve"> </w:t>
      </w:r>
    </w:p>
    <w:p>
      <w:r>
        <w:t xml:space="preserve">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Prilikom plaćanja računa našem partneru u Soveniji, Aricia, raziskave in razvoj, greškom nije upisan žiro račun platitelja. Kontrola financija Karlovačke županije odbila je nalog, a kako se je kadar u računovodstvu stalno mijenjao, zbog zamjena za porodiljno, nitko nije reagirao do ove godine. Račun je plaćen 21.01.2026. g.</w:t>
      </w:r>
    </w:p>
    <w:p/>
    <w:p>
      <w:pPr>
        <w:jc w:val="center"/>
        <w:pStyle w:val="Normal"/>
        <w:spacing w:line="240" w:lineRule="auto"/>
        <w:keepNext/>
      </w:pPr>
      <w:r>
        <w:rPr>
          <w:sz w:val="28"/>
          <w:rFonts w:ascii="Times New Roman" w:hAnsi="Times New Roman"/>
        </w:rPr>
        <w:t xml:space="preserve">Bilješka 6.</w:t>
      </w:r>
    </w:p>
    <w:p>
      <w:pPr>
        <w:jc w:val="both"/>
        <w:pStyle w:val="Normal"/>
        <w:spacing w:line="240" w:lineRule="auto"/>
      </w:pPr>
      <w:r>
        <w:rPr>
          <w:b/>
          <w:sz w:val="24"/>
          <w:rFonts w:ascii="Times New Roman" w:hAnsi="Times New Roman"/>
        </w:rPr>
        <w:t xml:space="preserve">EU izvještaj</w:t>
      </w:r>
    </w:p>
    <w:p>
      <w:r>
        <w:t xml:space="preserve">Podaci se odnose na projekt Colapis, iz EU sredstva za regionalni razvoj. Projekt je rađen sa partnerom iz Slovenije u iznosu od 8.192,00 dura i u 2025. g. u potpunosti je izvršen.</w:t>
      </w:r>
    </w:p>
    <w:p/>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bering>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8150d65d1bba44cf" /><Relationship Type="http://schemas.openxmlformats.org/officeDocument/2006/relationships/numbering" Target="/word/numbering.xml" Id="R58cd24f55e564868" /></Relationships>
</file>